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705F" w14:textId="77777777" w:rsidR="009150E6" w:rsidRDefault="00B157C6" w:rsidP="00280622">
      <w:pPr>
        <w:pStyle w:val="Heading1"/>
      </w:pPr>
      <w:r>
        <w:t>Data Breach Management Plan</w:t>
      </w:r>
    </w:p>
    <w:p w14:paraId="1D05A7A2" w14:textId="77777777" w:rsidR="00B157C6" w:rsidRDefault="00B157C6"/>
    <w:p w14:paraId="7CFCB163" w14:textId="77777777" w:rsidR="00B157C6" w:rsidRDefault="00B157C6" w:rsidP="00B157C6">
      <w:r>
        <w:t xml:space="preserve">Entities, including medical practices, </w:t>
      </w:r>
      <w:r w:rsidRPr="00B157C6">
        <w:t>have an ongoing obligation to take reasonable steps to handle personal information in accordance with the A</w:t>
      </w:r>
      <w:r>
        <w:t xml:space="preserve">ustralian </w:t>
      </w:r>
      <w:r w:rsidRPr="00B157C6">
        <w:t>P</w:t>
      </w:r>
      <w:r>
        <w:t xml:space="preserve">rivacy </w:t>
      </w:r>
      <w:r w:rsidRPr="00B157C6">
        <w:t>P</w:t>
      </w:r>
      <w:r>
        <w:t>rinciple</w:t>
      </w:r>
      <w:r w:rsidRPr="00B157C6">
        <w:t>s. This includes protecting personal information from misuse, interference and loss, and from unauthorised access, modification or disclosure.</w:t>
      </w:r>
    </w:p>
    <w:p w14:paraId="052E245F" w14:textId="77777777" w:rsidR="00B157C6" w:rsidRDefault="00B157C6" w:rsidP="00B157C6"/>
    <w:p w14:paraId="5635F84C" w14:textId="77777777" w:rsidR="00B157C6" w:rsidRDefault="00B157C6" w:rsidP="00280622">
      <w:pPr>
        <w:pStyle w:val="Heading2"/>
      </w:pPr>
      <w:r w:rsidRPr="00B157C6">
        <w:t>Suspected or known data breach</w:t>
      </w:r>
    </w:p>
    <w:p w14:paraId="6F8366C1" w14:textId="77777777" w:rsidR="00B157C6" w:rsidRDefault="00B157C6" w:rsidP="00B157C6"/>
    <w:p w14:paraId="1F09F094" w14:textId="77777777" w:rsidR="00B157C6" w:rsidRPr="00B157C6" w:rsidRDefault="00B157C6" w:rsidP="00B157C6">
      <w:r w:rsidRPr="00B157C6">
        <w:t>A data breach is unauthorised access to or unauthorised disclosure of personal information, or a loss of personal information, that an entity holds.</w:t>
      </w:r>
    </w:p>
    <w:p w14:paraId="5B5F17FC" w14:textId="77777777" w:rsidR="00B157C6" w:rsidRDefault="00B157C6" w:rsidP="00B157C6"/>
    <w:p w14:paraId="6A27FD8E" w14:textId="77777777" w:rsidR="00B157C6" w:rsidRPr="00B157C6" w:rsidRDefault="00B157C6" w:rsidP="00280622">
      <w:pPr>
        <w:pStyle w:val="Heading2"/>
      </w:pPr>
      <w:r w:rsidRPr="00B157C6">
        <w:t>Contain</w:t>
      </w:r>
    </w:p>
    <w:p w14:paraId="1B3716B7" w14:textId="77777777" w:rsidR="00B157C6" w:rsidRDefault="00B157C6" w:rsidP="00B157C6"/>
    <w:p w14:paraId="2B6F3410" w14:textId="77777777" w:rsidR="00B157C6" w:rsidRPr="00B157C6" w:rsidRDefault="00B157C6" w:rsidP="00B157C6">
      <w:r w:rsidRPr="00B157C6">
        <w:t xml:space="preserve">An entity’s first step should be to </w:t>
      </w:r>
      <w:r w:rsidRPr="003B2B59">
        <w:rPr>
          <w:b/>
        </w:rPr>
        <w:t>contain</w:t>
      </w:r>
      <w:r w:rsidRPr="00B157C6">
        <w:t xml:space="preserve"> a suspected or known breach where possible. This means taking immediate steps to limit any further access or distribution of the affected personal information, or the possible compromise of other information.</w:t>
      </w:r>
    </w:p>
    <w:p w14:paraId="642D0B86" w14:textId="77777777" w:rsidR="00B157C6" w:rsidRDefault="00B157C6" w:rsidP="00B157C6"/>
    <w:p w14:paraId="2F1FF8FC" w14:textId="77777777" w:rsidR="003B2B59" w:rsidRPr="003B2B59" w:rsidRDefault="003B2B59" w:rsidP="00280622">
      <w:pPr>
        <w:pStyle w:val="Heading2"/>
      </w:pPr>
      <w:r w:rsidRPr="003B2B59">
        <w:t>Assess</w:t>
      </w:r>
    </w:p>
    <w:p w14:paraId="789FA533" w14:textId="77777777" w:rsidR="00B157C6" w:rsidRDefault="00B157C6" w:rsidP="00B157C6"/>
    <w:p w14:paraId="1F918493" w14:textId="77777777" w:rsidR="003B2B59" w:rsidRPr="003B2B59" w:rsidRDefault="003B2B59" w:rsidP="003B2B59">
      <w:r w:rsidRPr="003B2B59">
        <w:t xml:space="preserve">Entities will need to consider </w:t>
      </w:r>
      <w:r w:rsidRPr="00280622">
        <w:rPr>
          <w:b/>
        </w:rPr>
        <w:t>whether the data breach is likely to result in serious harm</w:t>
      </w:r>
      <w:r>
        <w:t xml:space="preserve"> </w:t>
      </w:r>
      <w:r w:rsidRPr="003B2B59">
        <w:t>to any of the individuals whose information was involved. If the entity has reasonable</w:t>
      </w:r>
      <w:r>
        <w:t xml:space="preserve"> </w:t>
      </w:r>
      <w:r w:rsidRPr="003B2B59">
        <w:t>grounds to believe this is the case, then it must notify. If it only has grounds to suspect that</w:t>
      </w:r>
      <w:r>
        <w:t xml:space="preserve"> </w:t>
      </w:r>
      <w:r w:rsidRPr="003B2B59">
        <w:t>this is th</w:t>
      </w:r>
      <w:r>
        <w:t xml:space="preserve">e case, then it must conduct an </w:t>
      </w:r>
      <w:r w:rsidRPr="00280622">
        <w:rPr>
          <w:b/>
        </w:rPr>
        <w:t>assessment</w:t>
      </w:r>
      <w:r w:rsidRPr="003B2B59">
        <w:t xml:space="preserve"> process. As part of the assessment,</w:t>
      </w:r>
      <w:r>
        <w:t xml:space="preserve"> </w:t>
      </w:r>
      <w:r w:rsidRPr="003B2B59">
        <w:t xml:space="preserve">entities should consider whether </w:t>
      </w:r>
      <w:r w:rsidRPr="00280622">
        <w:rPr>
          <w:b/>
        </w:rPr>
        <w:t>remedial action</w:t>
      </w:r>
      <w:r w:rsidRPr="003B2B59">
        <w:t xml:space="preserve"> is possible.</w:t>
      </w:r>
    </w:p>
    <w:p w14:paraId="2C97B65F" w14:textId="77777777" w:rsidR="003B2B59" w:rsidRDefault="003B2B59" w:rsidP="003B2B59"/>
    <w:p w14:paraId="533C327A" w14:textId="77777777" w:rsidR="003B2B59" w:rsidRPr="003B2B59" w:rsidRDefault="003B2B59" w:rsidP="003B2B59">
      <w:r>
        <w:t>The OAIC suggests o</w:t>
      </w:r>
      <w:r w:rsidRPr="003B2B59">
        <w:t>rganisations</w:t>
      </w:r>
      <w:r>
        <w:t xml:space="preserve"> use</w:t>
      </w:r>
      <w:r w:rsidRPr="003B2B59">
        <w:t xml:space="preserve"> </w:t>
      </w:r>
      <w:r>
        <w:t>the following</w:t>
      </w:r>
      <w:r w:rsidRPr="003B2B59">
        <w:t xml:space="preserve"> three-stage process:</w:t>
      </w:r>
    </w:p>
    <w:p w14:paraId="4769559A" w14:textId="77777777" w:rsidR="003B2B59" w:rsidRPr="003B2B59" w:rsidRDefault="003B2B59" w:rsidP="003B2B59">
      <w:r w:rsidRPr="003B2B59">
        <w:t xml:space="preserve">• </w:t>
      </w:r>
      <w:r w:rsidRPr="00280622">
        <w:rPr>
          <w:b/>
        </w:rPr>
        <w:t>Initiate</w:t>
      </w:r>
      <w:r w:rsidRPr="003B2B59">
        <w:t>: plan the assessment and assign a team or person</w:t>
      </w:r>
    </w:p>
    <w:p w14:paraId="2F05C246" w14:textId="77777777" w:rsidR="003B2B59" w:rsidRPr="003B2B59" w:rsidRDefault="003B2B59" w:rsidP="003B2B59">
      <w:r w:rsidRPr="003B2B59">
        <w:t xml:space="preserve">• </w:t>
      </w:r>
      <w:r w:rsidRPr="00280622">
        <w:rPr>
          <w:b/>
        </w:rPr>
        <w:t>Investigate</w:t>
      </w:r>
      <w:r w:rsidRPr="003B2B59">
        <w:t>: gather relevant information about the incide</w:t>
      </w:r>
      <w:r>
        <w:t xml:space="preserve">nt to determine what has </w:t>
      </w:r>
      <w:r w:rsidRPr="003B2B59">
        <w:t>occurred</w:t>
      </w:r>
    </w:p>
    <w:p w14:paraId="0AFABC4B" w14:textId="77777777" w:rsidR="003B2B59" w:rsidRDefault="003B2B59" w:rsidP="003B2B59">
      <w:r w:rsidRPr="003B2B59">
        <w:t xml:space="preserve">• </w:t>
      </w:r>
      <w:r w:rsidRPr="00280622">
        <w:rPr>
          <w:b/>
        </w:rPr>
        <w:t>Evaluate</w:t>
      </w:r>
      <w:r w:rsidRPr="003B2B59">
        <w:t xml:space="preserve">: make an evidence-based decision about whether serious harm is likely. </w:t>
      </w:r>
    </w:p>
    <w:p w14:paraId="501639F3" w14:textId="77777777" w:rsidR="003B2B59" w:rsidRDefault="003B2B59" w:rsidP="003B2B59"/>
    <w:p w14:paraId="7FB9FBA9" w14:textId="77777777" w:rsidR="003B2B59" w:rsidRDefault="003B2B59" w:rsidP="003B2B59">
      <w:r>
        <w:t>These steps should be documented.</w:t>
      </w:r>
    </w:p>
    <w:p w14:paraId="1CF8812D" w14:textId="77777777" w:rsidR="003B2B59" w:rsidRPr="003B2B59" w:rsidRDefault="003B2B59" w:rsidP="003B2B59"/>
    <w:p w14:paraId="04805BB7" w14:textId="77777777" w:rsidR="003B2B59" w:rsidRDefault="003B2B59" w:rsidP="003B2B59">
      <w:r>
        <w:t>Our organisation</w:t>
      </w:r>
      <w:r w:rsidRPr="003B2B59">
        <w:t xml:space="preserve"> should conduct this assessment expeditiously and, where possible, within 30 days.</w:t>
      </w:r>
    </w:p>
    <w:p w14:paraId="4B4B3014" w14:textId="77777777" w:rsidR="003B2B59" w:rsidRPr="003B2B59" w:rsidRDefault="003B2B59" w:rsidP="003B2B59"/>
    <w:p w14:paraId="1E805CBD" w14:textId="77777777" w:rsidR="003B2B59" w:rsidRPr="00B157C6" w:rsidRDefault="003B2B59" w:rsidP="003B2B59">
      <w:r w:rsidRPr="003B2B59">
        <w:t>If it can’t be done within 30 days, document why this is the case.</w:t>
      </w:r>
    </w:p>
    <w:p w14:paraId="3D728099" w14:textId="77777777" w:rsidR="00B157C6" w:rsidRDefault="00B157C6"/>
    <w:p w14:paraId="10DE19C1" w14:textId="77777777" w:rsidR="00280622" w:rsidRPr="00280622" w:rsidRDefault="00280622" w:rsidP="004C64A9">
      <w:pPr>
        <w:pStyle w:val="Heading2"/>
      </w:pPr>
      <w:r w:rsidRPr="00280622">
        <w:lastRenderedPageBreak/>
        <w:t>Take remedial action</w:t>
      </w:r>
    </w:p>
    <w:p w14:paraId="71B0D007" w14:textId="77777777" w:rsidR="00280622" w:rsidRDefault="00280622"/>
    <w:p w14:paraId="3BD442DD" w14:textId="77777777" w:rsidR="004C64A9" w:rsidRDefault="004C64A9" w:rsidP="004C64A9">
      <w:r w:rsidRPr="004C64A9">
        <w:t xml:space="preserve">Where possible, an entity should take steps to reduce any potential harm to individuals. </w:t>
      </w:r>
    </w:p>
    <w:p w14:paraId="364A9196" w14:textId="77777777" w:rsidR="004C64A9" w:rsidRDefault="004C64A9" w:rsidP="004C64A9"/>
    <w:p w14:paraId="0C36C12A" w14:textId="77777777" w:rsidR="004C64A9" w:rsidRDefault="004C64A9" w:rsidP="004C64A9">
      <w:r w:rsidRPr="004C64A9">
        <w:t>This might involve taking action to recover lost information before it is accessed or changing access controls on compr</w:t>
      </w:r>
      <w:r>
        <w:t xml:space="preserve">omised customer accounts before </w:t>
      </w:r>
      <w:r w:rsidRPr="004C64A9">
        <w:t xml:space="preserve">unauthorised transactions can occur. </w:t>
      </w:r>
    </w:p>
    <w:p w14:paraId="46D03ADD" w14:textId="77777777" w:rsidR="004C64A9" w:rsidRDefault="004C64A9" w:rsidP="004C64A9"/>
    <w:p w14:paraId="35713524" w14:textId="2B9D263A" w:rsidR="004C64A9" w:rsidRPr="004C64A9" w:rsidRDefault="004C64A9" w:rsidP="004C64A9">
      <w:r w:rsidRPr="004C64A9">
        <w:t>If remedial action is successful in making serious harm no longer likely, then notification is not required and entities can progress to the review stage.</w:t>
      </w:r>
    </w:p>
    <w:p w14:paraId="69C1250B" w14:textId="77777777" w:rsidR="004C64A9" w:rsidRDefault="004C64A9"/>
    <w:p w14:paraId="60E01801" w14:textId="77777777" w:rsidR="00364BE0" w:rsidRPr="00364BE0" w:rsidRDefault="00364BE0" w:rsidP="00364BE0">
      <w:pPr>
        <w:pStyle w:val="Heading2"/>
      </w:pPr>
      <w:r w:rsidRPr="00364BE0">
        <w:t>Is serious harm still likely?</w:t>
      </w:r>
    </w:p>
    <w:p w14:paraId="1CB8933B" w14:textId="77777777" w:rsidR="00364BE0" w:rsidRDefault="00364BE0"/>
    <w:p w14:paraId="4780E8AA" w14:textId="107B4746" w:rsidR="00364BE0" w:rsidRDefault="00364BE0" w:rsidP="00364BE0">
      <w:pPr>
        <w:pStyle w:val="Heading3"/>
      </w:pPr>
      <w:r>
        <w:t>If yes: Notify</w:t>
      </w:r>
    </w:p>
    <w:p w14:paraId="376A9FA5" w14:textId="77777777" w:rsidR="00364BE0" w:rsidRDefault="00364BE0"/>
    <w:p w14:paraId="420E9E6A" w14:textId="5B4FA911" w:rsidR="00364BE0" w:rsidRDefault="00364BE0" w:rsidP="00364BE0">
      <w:r w:rsidRPr="00364BE0">
        <w:t xml:space="preserve">Where </w:t>
      </w:r>
      <w:r w:rsidRPr="0089012B">
        <w:rPr>
          <w:b/>
        </w:rPr>
        <w:t>serious harm is likely</w:t>
      </w:r>
      <w:r w:rsidRPr="00364BE0">
        <w:t xml:space="preserve">, </w:t>
      </w:r>
      <w:r>
        <w:t>we</w:t>
      </w:r>
      <w:r w:rsidRPr="00364BE0">
        <w:t xml:space="preserve"> must prepare a statement for the Commissioner (a form is available on the Commissioner’s website</w:t>
      </w:r>
      <w:r w:rsidR="0089012B">
        <w:t xml:space="preserve">: </w:t>
      </w:r>
      <w:hyperlink r:id="rId5" w:history="1">
        <w:r w:rsidR="0089012B" w:rsidRPr="00436A4F">
          <w:rPr>
            <w:rStyle w:val="Hyperlink"/>
          </w:rPr>
          <w:t>https://forms.business.gov.au/smartforms/landing.htm?formCode=OAIC-NDB</w:t>
        </w:r>
      </w:hyperlink>
      <w:proofErr w:type="gramStart"/>
      <w:r w:rsidR="0089012B">
        <w:t xml:space="preserve"> </w:t>
      </w:r>
      <w:r w:rsidRPr="00364BE0">
        <w:t>)</w:t>
      </w:r>
      <w:proofErr w:type="gramEnd"/>
      <w:r w:rsidRPr="00364BE0">
        <w:t xml:space="preserve"> that contains: </w:t>
      </w:r>
    </w:p>
    <w:p w14:paraId="599BC871" w14:textId="77777777" w:rsidR="00364BE0" w:rsidRDefault="00364BE0" w:rsidP="00364BE0">
      <w:r w:rsidRPr="00364BE0">
        <w:t xml:space="preserve">• </w:t>
      </w:r>
      <w:proofErr w:type="gramStart"/>
      <w:r>
        <w:t>Our</w:t>
      </w:r>
      <w:proofErr w:type="gramEnd"/>
      <w:r w:rsidRPr="00364BE0">
        <w:t xml:space="preserve"> identity and contact details </w:t>
      </w:r>
    </w:p>
    <w:p w14:paraId="7AFE3A94" w14:textId="77777777" w:rsidR="00364BE0" w:rsidRDefault="00364BE0" w:rsidP="00364BE0">
      <w:r w:rsidRPr="00364BE0">
        <w:t xml:space="preserve">• </w:t>
      </w:r>
      <w:proofErr w:type="gramStart"/>
      <w:r w:rsidRPr="00364BE0">
        <w:t>a</w:t>
      </w:r>
      <w:proofErr w:type="gramEnd"/>
      <w:r w:rsidRPr="00364BE0">
        <w:t xml:space="preserve"> description of the breach </w:t>
      </w:r>
    </w:p>
    <w:p w14:paraId="35577E66" w14:textId="77777777" w:rsidR="00364BE0" w:rsidRDefault="00364BE0" w:rsidP="00364BE0">
      <w:r w:rsidRPr="00364BE0">
        <w:t xml:space="preserve">• </w:t>
      </w:r>
      <w:proofErr w:type="gramStart"/>
      <w:r w:rsidRPr="00364BE0">
        <w:t>the</w:t>
      </w:r>
      <w:proofErr w:type="gramEnd"/>
      <w:r w:rsidRPr="00364BE0">
        <w:t xml:space="preserve"> kind/s of information concerned </w:t>
      </w:r>
    </w:p>
    <w:p w14:paraId="7E2930E0" w14:textId="7898D123" w:rsidR="00364BE0" w:rsidRPr="00364BE0" w:rsidRDefault="00364BE0" w:rsidP="00364BE0">
      <w:r w:rsidRPr="00364BE0">
        <w:t xml:space="preserve">• </w:t>
      </w:r>
      <w:proofErr w:type="gramStart"/>
      <w:r w:rsidRPr="00364BE0">
        <w:t>recommended</w:t>
      </w:r>
      <w:proofErr w:type="gramEnd"/>
      <w:r w:rsidRPr="00364BE0">
        <w:t xml:space="preserve"> steps for individuals</w:t>
      </w:r>
    </w:p>
    <w:p w14:paraId="646A0319" w14:textId="77777777" w:rsidR="00364BE0" w:rsidRDefault="00364BE0"/>
    <w:p w14:paraId="31CB6E14" w14:textId="77777777" w:rsidR="0089012B" w:rsidRDefault="0089012B" w:rsidP="0089012B">
      <w:r>
        <w:t>We</w:t>
      </w:r>
      <w:r w:rsidRPr="0089012B">
        <w:t xml:space="preserve"> must also notify affected individuals, and inform them of the contents of this statement. </w:t>
      </w:r>
    </w:p>
    <w:p w14:paraId="25F7E4F9" w14:textId="77777777" w:rsidR="0089012B" w:rsidRDefault="0089012B" w:rsidP="0089012B">
      <w:r w:rsidRPr="0089012B">
        <w:t xml:space="preserve">There are three options for notifying: </w:t>
      </w:r>
    </w:p>
    <w:p w14:paraId="5A39412C" w14:textId="77777777" w:rsidR="0089012B" w:rsidRDefault="0089012B" w:rsidP="0089012B"/>
    <w:p w14:paraId="61862094" w14:textId="77777777" w:rsidR="0089012B" w:rsidRDefault="0089012B" w:rsidP="0089012B">
      <w:r w:rsidRPr="0089012B">
        <w:t xml:space="preserve">• </w:t>
      </w:r>
      <w:r w:rsidRPr="0089012B">
        <w:rPr>
          <w:b/>
        </w:rPr>
        <w:t>Option 1:</w:t>
      </w:r>
      <w:r w:rsidRPr="0089012B">
        <w:t xml:space="preserve"> Notify all individuals </w:t>
      </w:r>
    </w:p>
    <w:p w14:paraId="26A4FFA1" w14:textId="77777777" w:rsidR="0089012B" w:rsidRDefault="0089012B" w:rsidP="0089012B">
      <w:r w:rsidRPr="0089012B">
        <w:t xml:space="preserve">• </w:t>
      </w:r>
      <w:r w:rsidRPr="0089012B">
        <w:rPr>
          <w:b/>
        </w:rPr>
        <w:t>Option 2:</w:t>
      </w:r>
      <w:r w:rsidRPr="0089012B">
        <w:t xml:space="preserve"> Notify only those individuals at risk of serious harm </w:t>
      </w:r>
      <w:proofErr w:type="gramStart"/>
      <w:r w:rsidRPr="0089012B">
        <w:t>If</w:t>
      </w:r>
      <w:proofErr w:type="gramEnd"/>
      <w:r w:rsidRPr="0089012B">
        <w:t xml:space="preserve"> neither of these options are practicable: </w:t>
      </w:r>
    </w:p>
    <w:p w14:paraId="5D8A7027" w14:textId="77777777" w:rsidR="0089012B" w:rsidRDefault="0089012B" w:rsidP="0089012B">
      <w:r w:rsidRPr="0089012B">
        <w:t xml:space="preserve">• </w:t>
      </w:r>
      <w:r w:rsidRPr="0089012B">
        <w:rPr>
          <w:b/>
        </w:rPr>
        <w:t>Option 3:</w:t>
      </w:r>
      <w:r w:rsidRPr="0089012B">
        <w:t xml:space="preserve"> publish the statement on the entity’s website and publicise it </w:t>
      </w:r>
    </w:p>
    <w:p w14:paraId="6E636FDC" w14:textId="77777777" w:rsidR="0089012B" w:rsidRDefault="0089012B" w:rsidP="0089012B"/>
    <w:p w14:paraId="0B08065A" w14:textId="20EF9212" w:rsidR="0089012B" w:rsidRPr="0089012B" w:rsidRDefault="0089012B" w:rsidP="0089012B">
      <w:r>
        <w:t>We</w:t>
      </w:r>
      <w:r w:rsidRPr="0089012B">
        <w:t xml:space="preserve"> can prov</w:t>
      </w:r>
      <w:r>
        <w:t>ide further information in the</w:t>
      </w:r>
      <w:r w:rsidRPr="0089012B">
        <w:t xml:space="preserve"> notification, such as an apology and an explanation of what </w:t>
      </w:r>
      <w:r>
        <w:t>we</w:t>
      </w:r>
      <w:r w:rsidRPr="0089012B">
        <w:t xml:space="preserve"> are doing about the breach.</w:t>
      </w:r>
    </w:p>
    <w:p w14:paraId="199C33DD" w14:textId="77777777" w:rsidR="00364BE0" w:rsidRDefault="00364BE0"/>
    <w:p w14:paraId="4B983CDA" w14:textId="2A635A2D" w:rsidR="00D4035A" w:rsidRDefault="00D4035A" w:rsidP="00D4035A">
      <w:pPr>
        <w:pStyle w:val="Heading3"/>
      </w:pPr>
      <w:r>
        <w:t>If no: Review</w:t>
      </w:r>
    </w:p>
    <w:p w14:paraId="4087482A" w14:textId="77777777" w:rsidR="00D4035A" w:rsidRDefault="00D4035A" w:rsidP="00D4035A"/>
    <w:p w14:paraId="003A85C5" w14:textId="77777777" w:rsidR="00D4035A" w:rsidRDefault="00D4035A" w:rsidP="00D4035A">
      <w:r w:rsidRPr="00D4035A">
        <w:t xml:space="preserve">Review the incident and take action to prevent future breaches. </w:t>
      </w:r>
    </w:p>
    <w:p w14:paraId="5835B9BE" w14:textId="77777777" w:rsidR="00D4035A" w:rsidRDefault="00D4035A" w:rsidP="00D4035A">
      <w:r w:rsidRPr="00D4035A">
        <w:t xml:space="preserve">This may include: </w:t>
      </w:r>
    </w:p>
    <w:p w14:paraId="0E25BAB4" w14:textId="77777777" w:rsidR="00D4035A" w:rsidRDefault="00D4035A" w:rsidP="00D4035A">
      <w:r w:rsidRPr="00D4035A">
        <w:t xml:space="preserve">• Fully investigating the cause of the breach </w:t>
      </w:r>
    </w:p>
    <w:p w14:paraId="16C32B53" w14:textId="77777777" w:rsidR="00D4035A" w:rsidRDefault="00D4035A" w:rsidP="00D4035A">
      <w:r w:rsidRPr="00D4035A">
        <w:t xml:space="preserve">• </w:t>
      </w:r>
      <w:proofErr w:type="gramStart"/>
      <w:r w:rsidRPr="00D4035A">
        <w:t>Developing</w:t>
      </w:r>
      <w:proofErr w:type="gramEnd"/>
      <w:r w:rsidRPr="00D4035A">
        <w:t xml:space="preserve"> a prevention plan </w:t>
      </w:r>
    </w:p>
    <w:p w14:paraId="3C098E6A" w14:textId="77777777" w:rsidR="00D4035A" w:rsidRDefault="00D4035A" w:rsidP="00D4035A">
      <w:r w:rsidRPr="00D4035A">
        <w:t xml:space="preserve">• Conducting audits to ensure the plan is implemented </w:t>
      </w:r>
    </w:p>
    <w:p w14:paraId="5D66DF61" w14:textId="77777777" w:rsidR="00D4035A" w:rsidRDefault="00D4035A" w:rsidP="00D4035A">
      <w:r w:rsidRPr="00D4035A">
        <w:t xml:space="preserve">• Updating security/response plan </w:t>
      </w:r>
    </w:p>
    <w:p w14:paraId="31197C8A" w14:textId="77777777" w:rsidR="00D4035A" w:rsidRDefault="00D4035A" w:rsidP="00D4035A">
      <w:r w:rsidRPr="00D4035A">
        <w:t xml:space="preserve">• </w:t>
      </w:r>
      <w:proofErr w:type="gramStart"/>
      <w:r w:rsidRPr="00D4035A">
        <w:t>Considering</w:t>
      </w:r>
      <w:proofErr w:type="gramEnd"/>
      <w:r w:rsidRPr="00D4035A">
        <w:t xml:space="preserve"> changes to policies and procedures </w:t>
      </w:r>
    </w:p>
    <w:p w14:paraId="32A26FD0" w14:textId="39CB7D7E" w:rsidR="00D4035A" w:rsidRDefault="00D4035A" w:rsidP="00D4035A">
      <w:r w:rsidRPr="00D4035A">
        <w:t>• Revising staff training practices</w:t>
      </w:r>
    </w:p>
    <w:p w14:paraId="2482FBDA" w14:textId="77777777" w:rsidR="008E4734" w:rsidRDefault="008E4734" w:rsidP="008E4734">
      <w:r>
        <w:t>We</w:t>
      </w:r>
      <w:r w:rsidRPr="008E4734">
        <w:t xml:space="preserve"> should also consider reporting the incident to other relevant bodies, such as: </w:t>
      </w:r>
    </w:p>
    <w:p w14:paraId="5F421187" w14:textId="77777777" w:rsidR="008E4734" w:rsidRDefault="008E4734" w:rsidP="008E4734">
      <w:r w:rsidRPr="008E4734">
        <w:t xml:space="preserve">• </w:t>
      </w:r>
      <w:proofErr w:type="gramStart"/>
      <w:r w:rsidRPr="008E4734">
        <w:t>police</w:t>
      </w:r>
      <w:proofErr w:type="gramEnd"/>
      <w:r w:rsidRPr="008E4734">
        <w:t xml:space="preserve"> or law enforcement </w:t>
      </w:r>
    </w:p>
    <w:p w14:paraId="206083B9" w14:textId="77777777" w:rsidR="008E4734" w:rsidRDefault="008E4734" w:rsidP="008E4734">
      <w:r w:rsidRPr="008E4734">
        <w:t xml:space="preserve">• ASIC, APRA or the ATO </w:t>
      </w:r>
    </w:p>
    <w:p w14:paraId="650E0335" w14:textId="77777777" w:rsidR="008E4734" w:rsidRDefault="008E4734" w:rsidP="008E4734">
      <w:r w:rsidRPr="008E4734">
        <w:t xml:space="preserve">• The Australian Cyber Security Centre </w:t>
      </w:r>
    </w:p>
    <w:p w14:paraId="02469BA4" w14:textId="77777777" w:rsidR="00277FC5" w:rsidRDefault="008E4734" w:rsidP="008E4734">
      <w:r w:rsidRPr="008E4734">
        <w:t xml:space="preserve">• </w:t>
      </w:r>
      <w:proofErr w:type="gramStart"/>
      <w:r w:rsidRPr="008E4734">
        <w:t>professional</w:t>
      </w:r>
      <w:proofErr w:type="gramEnd"/>
      <w:r w:rsidRPr="008E4734">
        <w:t xml:space="preserve"> bodies </w:t>
      </w:r>
    </w:p>
    <w:p w14:paraId="0F80E313" w14:textId="77777777" w:rsidR="00277FC5" w:rsidRDefault="008E4734" w:rsidP="008E4734">
      <w:r w:rsidRPr="008E4734">
        <w:t xml:space="preserve">• </w:t>
      </w:r>
      <w:proofErr w:type="gramStart"/>
      <w:r w:rsidRPr="008E4734">
        <w:t>your</w:t>
      </w:r>
      <w:proofErr w:type="gramEnd"/>
      <w:r w:rsidRPr="008E4734">
        <w:t xml:space="preserve"> financial services provider </w:t>
      </w:r>
    </w:p>
    <w:p w14:paraId="6E865B17" w14:textId="77777777" w:rsidR="00277FC5" w:rsidRDefault="00277FC5" w:rsidP="008E4734"/>
    <w:p w14:paraId="53E66697" w14:textId="06BC8699" w:rsidR="008E4734" w:rsidRDefault="009053FB" w:rsidP="009053FB">
      <w:pPr>
        <w:pStyle w:val="Heading2"/>
      </w:pPr>
      <w:r>
        <w:t>Key staff and c</w:t>
      </w:r>
      <w:bookmarkStart w:id="0" w:name="_GoBack"/>
      <w:bookmarkEnd w:id="0"/>
      <w:r>
        <w:t>ontact details in the event of a suspected data breach:</w:t>
      </w:r>
    </w:p>
    <w:p w14:paraId="3E881C90" w14:textId="77777777" w:rsidR="009053FB" w:rsidRDefault="009053FB" w:rsidP="00D4035A"/>
    <w:p w14:paraId="09845D99" w14:textId="55A1F170" w:rsidR="009053FB" w:rsidRDefault="009053FB" w:rsidP="00D4035A">
      <w:r>
        <w:t>Team leader/Data and privacy leader:</w:t>
      </w:r>
    </w:p>
    <w:p w14:paraId="36076B08" w14:textId="77777777" w:rsidR="009053FB" w:rsidRDefault="009053FB" w:rsidP="00D4035A"/>
    <w:p w14:paraId="40B8463B" w14:textId="3F98DDBE" w:rsidR="009053FB" w:rsidRDefault="009053FB" w:rsidP="00D4035A">
      <w:r>
        <w:t>Supporting staff with data breach assessment responsibilities:</w:t>
      </w:r>
    </w:p>
    <w:p w14:paraId="786B1887" w14:textId="77777777" w:rsidR="009053FB" w:rsidRDefault="009053FB" w:rsidP="00D4035A"/>
    <w:p w14:paraId="667F8EAC" w14:textId="469155B8" w:rsidR="009053FB" w:rsidRPr="00D4035A" w:rsidRDefault="009053FB" w:rsidP="00D4035A">
      <w:r>
        <w:t>IT support and security provider:</w:t>
      </w:r>
    </w:p>
    <w:p w14:paraId="20E8489A" w14:textId="77777777" w:rsidR="00D4035A" w:rsidRPr="00D4035A" w:rsidRDefault="00D4035A" w:rsidP="00D4035A"/>
    <w:sectPr w:rsidR="00D4035A" w:rsidRPr="00D4035A" w:rsidSect="00001F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C6"/>
    <w:rsid w:val="00001FD2"/>
    <w:rsid w:val="00277FC5"/>
    <w:rsid w:val="00280622"/>
    <w:rsid w:val="00364BE0"/>
    <w:rsid w:val="003B2B59"/>
    <w:rsid w:val="004C64A9"/>
    <w:rsid w:val="0089012B"/>
    <w:rsid w:val="008E4734"/>
    <w:rsid w:val="009053FB"/>
    <w:rsid w:val="009150E6"/>
    <w:rsid w:val="00B157C6"/>
    <w:rsid w:val="00D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6D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6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4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90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6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4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90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s.business.gov.au/smartforms/landing.htm?formCode=OAIC-ND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3392</Characters>
  <Application>Microsoft Macintosh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De Castro</dc:creator>
  <cp:keywords/>
  <dc:description/>
  <cp:lastModifiedBy>Magali De Castro</cp:lastModifiedBy>
  <cp:revision>10</cp:revision>
  <dcterms:created xsi:type="dcterms:W3CDTF">2018-05-21T02:12:00Z</dcterms:created>
  <dcterms:modified xsi:type="dcterms:W3CDTF">2018-05-21T02:24:00Z</dcterms:modified>
</cp:coreProperties>
</file>